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5C6" w:rsidRPr="00656183" w:rsidRDefault="003825C6" w:rsidP="003825C6">
      <w:pPr>
        <w:rPr>
          <w:rFonts w:ascii="Georgia" w:eastAsia="Times New Roman" w:hAnsi="Georgia" w:cs="Arial"/>
          <w:sz w:val="22"/>
          <w:szCs w:val="22"/>
          <w:lang w:val="nl-NL" w:eastAsia="nl-NL"/>
        </w:rPr>
      </w:pPr>
      <w:bookmarkStart w:id="0" w:name="_Hlk179453848"/>
      <w:r w:rsidRPr="00656183">
        <w:rPr>
          <w:rFonts w:ascii="Georgia" w:eastAsia="Times New Roman" w:hAnsi="Georgia" w:cs="Arial"/>
          <w:noProof/>
          <w:sz w:val="22"/>
          <w:szCs w:val="22"/>
          <w:lang w:val="nl-NL" w:eastAsia="nl-NL"/>
        </w:rPr>
        <w:drawing>
          <wp:inline distT="0" distB="0" distL="0" distR="0" wp14:anchorId="6FDB0F3D" wp14:editId="41E4811C">
            <wp:extent cx="1261745" cy="707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707390"/>
                    </a:xfrm>
                    <a:prstGeom prst="rect">
                      <a:avLst/>
                    </a:prstGeom>
                    <a:noFill/>
                  </pic:spPr>
                </pic:pic>
              </a:graphicData>
            </a:graphic>
          </wp:inline>
        </w:drawing>
      </w:r>
    </w:p>
    <w:p w:rsidR="003825C6" w:rsidRPr="00656183" w:rsidRDefault="003825C6" w:rsidP="003825C6">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p>
    <w:tbl>
      <w:tblPr>
        <w:tblW w:w="9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84"/>
      </w:tblGrid>
      <w:tr w:rsidR="003825C6" w:rsidRPr="002F391C" w:rsidTr="00C5139D">
        <w:tc>
          <w:tcPr>
            <w:tcW w:w="9284" w:type="dxa"/>
          </w:tcPr>
          <w:p w:rsidR="003825C6" w:rsidRPr="00656183" w:rsidRDefault="003825C6" w:rsidP="00C5139D">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Schriftelijke vragen (art. 39 Reglement van Orde)</w:t>
            </w:r>
          </w:p>
        </w:tc>
      </w:tr>
    </w:tbl>
    <w:p w:rsidR="003825C6" w:rsidRPr="00656183" w:rsidRDefault="003825C6" w:rsidP="003825C6">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Aan de voorzitter van Provinciale Staten van Gelderland</w:t>
      </w:r>
    </w:p>
    <w:p w:rsidR="003825C6" w:rsidRPr="00656183" w:rsidRDefault="003825C6" w:rsidP="003825C6">
      <w:pPr>
        <w:rPr>
          <w:rFonts w:ascii="Georgia" w:eastAsia="Times New Roman" w:hAnsi="Georgia" w:cs="Arial"/>
          <w:sz w:val="22"/>
          <w:szCs w:val="22"/>
          <w:lang w:val="nl-NL" w:eastAsia="nl-NL"/>
        </w:rPr>
      </w:pPr>
    </w:p>
    <w:tbl>
      <w:tblPr>
        <w:tblW w:w="9735" w:type="dxa"/>
        <w:tblLayout w:type="fixed"/>
        <w:tblCellMar>
          <w:left w:w="70" w:type="dxa"/>
          <w:right w:w="70" w:type="dxa"/>
        </w:tblCellMar>
        <w:tblLook w:val="0000" w:firstRow="0" w:lastRow="0" w:firstColumn="0" w:lastColumn="0" w:noHBand="0" w:noVBand="0"/>
      </w:tblPr>
      <w:tblGrid>
        <w:gridCol w:w="1488"/>
        <w:gridCol w:w="8247"/>
      </w:tblGrid>
      <w:tr w:rsidR="003825C6" w:rsidRPr="00656183" w:rsidTr="00C5139D">
        <w:trPr>
          <w:trHeight w:val="280"/>
        </w:trPr>
        <w:tc>
          <w:tcPr>
            <w:tcW w:w="1488" w:type="dxa"/>
          </w:tcPr>
          <w:p w:rsidR="003825C6" w:rsidRPr="00656183" w:rsidRDefault="003825C6" w:rsidP="00C5139D">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Datum</w:t>
            </w:r>
            <w:r w:rsidRPr="00656183">
              <w:rPr>
                <w:rFonts w:ascii="Georgia" w:eastAsia="Times New Roman" w:hAnsi="Georgia" w:cs="Arial"/>
                <w:sz w:val="22"/>
                <w:szCs w:val="22"/>
                <w:lang w:val="nl-NL" w:eastAsia="nl-NL"/>
              </w:rPr>
              <w:tab/>
              <w:t>:</w:t>
            </w:r>
          </w:p>
        </w:tc>
        <w:tc>
          <w:tcPr>
            <w:tcW w:w="8247" w:type="dxa"/>
          </w:tcPr>
          <w:p w:rsidR="003825C6" w:rsidRPr="00656183" w:rsidRDefault="008E0CFE" w:rsidP="00C5139D">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16 december 2024</w:t>
            </w:r>
          </w:p>
        </w:tc>
      </w:tr>
      <w:tr w:rsidR="003825C6" w:rsidRPr="00656183" w:rsidTr="00C5139D">
        <w:trPr>
          <w:trHeight w:val="280"/>
        </w:trPr>
        <w:tc>
          <w:tcPr>
            <w:tcW w:w="1488" w:type="dxa"/>
          </w:tcPr>
          <w:p w:rsidR="003825C6" w:rsidRPr="00656183" w:rsidRDefault="003825C6" w:rsidP="00C5139D">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Van</w:t>
            </w:r>
            <w:r w:rsidRPr="00656183">
              <w:rPr>
                <w:rFonts w:ascii="Georgia" w:eastAsia="Times New Roman" w:hAnsi="Georgia" w:cs="Arial"/>
                <w:sz w:val="22"/>
                <w:szCs w:val="22"/>
                <w:lang w:val="nl-NL" w:eastAsia="nl-NL"/>
              </w:rPr>
              <w:tab/>
              <w:t>:</w:t>
            </w:r>
          </w:p>
        </w:tc>
        <w:tc>
          <w:tcPr>
            <w:tcW w:w="8247" w:type="dxa"/>
          </w:tcPr>
          <w:p w:rsidR="003825C6" w:rsidRPr="00656183" w:rsidRDefault="008E0CFE" w:rsidP="00C5139D">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Carla Claassen (SP)</w:t>
            </w:r>
          </w:p>
        </w:tc>
      </w:tr>
      <w:tr w:rsidR="003825C6" w:rsidRPr="002F391C" w:rsidTr="00C5139D">
        <w:trPr>
          <w:trHeight w:val="280"/>
        </w:trPr>
        <w:tc>
          <w:tcPr>
            <w:tcW w:w="1488" w:type="dxa"/>
          </w:tcPr>
          <w:p w:rsidR="003825C6" w:rsidRPr="00656183" w:rsidRDefault="003825C6" w:rsidP="00C5139D">
            <w:pPr>
              <w:tabs>
                <w:tab w:val="left" w:pos="993"/>
              </w:tabs>
              <w:ind w:right="71"/>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Onderwerp:</w:t>
            </w:r>
            <w:r w:rsidRPr="00656183">
              <w:rPr>
                <w:rFonts w:ascii="Georgia" w:eastAsia="Times New Roman" w:hAnsi="Georgia" w:cs="Arial"/>
                <w:sz w:val="22"/>
                <w:szCs w:val="22"/>
                <w:lang w:val="nl-NL" w:eastAsia="nl-NL"/>
              </w:rPr>
              <w:tab/>
            </w:r>
          </w:p>
        </w:tc>
        <w:tc>
          <w:tcPr>
            <w:tcW w:w="8247" w:type="dxa"/>
          </w:tcPr>
          <w:p w:rsidR="003825C6" w:rsidRPr="00656183" w:rsidRDefault="008E0CFE" w:rsidP="00C5139D">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Staat van de Volkshuisvesting in Gelderland</w:t>
            </w:r>
          </w:p>
        </w:tc>
      </w:tr>
      <w:tr w:rsidR="00C34E21" w:rsidRPr="008E0CFE" w:rsidTr="00C5139D">
        <w:trPr>
          <w:trHeight w:val="280"/>
        </w:trPr>
        <w:tc>
          <w:tcPr>
            <w:tcW w:w="1488" w:type="dxa"/>
          </w:tcPr>
          <w:p w:rsidR="00C34E21" w:rsidRDefault="00C34E21" w:rsidP="00C5139D">
            <w:pPr>
              <w:tabs>
                <w:tab w:val="left" w:pos="993"/>
              </w:tabs>
              <w:ind w:right="71"/>
              <w:rPr>
                <w:rFonts w:ascii="Georgia" w:eastAsia="Times New Roman" w:hAnsi="Georgia" w:cs="Arial"/>
                <w:sz w:val="22"/>
                <w:szCs w:val="22"/>
                <w:lang w:val="nl-NL" w:eastAsia="nl-NL"/>
              </w:rPr>
            </w:pPr>
          </w:p>
          <w:p w:rsidR="00C34E21" w:rsidRPr="00656183" w:rsidRDefault="00C34E21" w:rsidP="00C34E21">
            <w:pPr>
              <w:rPr>
                <w:rFonts w:ascii="Georgia" w:eastAsia="Times New Roman" w:hAnsi="Georgia" w:cs="Arial"/>
                <w:b/>
                <w:sz w:val="22"/>
                <w:szCs w:val="22"/>
                <w:lang w:val="nl-NL" w:eastAsia="nl-NL"/>
              </w:rPr>
            </w:pPr>
            <w:r w:rsidRPr="00656183">
              <w:rPr>
                <w:rFonts w:ascii="Georgia" w:eastAsia="Times New Roman" w:hAnsi="Georgia" w:cs="Arial"/>
                <w:b/>
                <w:sz w:val="22"/>
                <w:szCs w:val="22"/>
                <w:lang w:val="nl-NL" w:eastAsia="nl-NL"/>
              </w:rPr>
              <w:t>Inleiding</w:t>
            </w:r>
          </w:p>
          <w:p w:rsidR="00C34E21" w:rsidRPr="00656183" w:rsidRDefault="00C34E21" w:rsidP="00C5139D">
            <w:pPr>
              <w:tabs>
                <w:tab w:val="left" w:pos="993"/>
              </w:tabs>
              <w:ind w:right="71"/>
              <w:rPr>
                <w:rFonts w:ascii="Georgia" w:eastAsia="Times New Roman" w:hAnsi="Georgia" w:cs="Arial"/>
                <w:sz w:val="22"/>
                <w:szCs w:val="22"/>
                <w:lang w:val="nl-NL" w:eastAsia="nl-NL"/>
              </w:rPr>
            </w:pPr>
          </w:p>
        </w:tc>
        <w:tc>
          <w:tcPr>
            <w:tcW w:w="8247" w:type="dxa"/>
          </w:tcPr>
          <w:p w:rsidR="00C34E21" w:rsidRDefault="00C34E21" w:rsidP="00C5139D">
            <w:pPr>
              <w:rPr>
                <w:rFonts w:ascii="Georgia" w:eastAsia="Times New Roman" w:hAnsi="Georgia" w:cs="Arial"/>
                <w:sz w:val="22"/>
                <w:szCs w:val="22"/>
                <w:lang w:val="nl-NL" w:eastAsia="nl-NL"/>
              </w:rPr>
            </w:pPr>
          </w:p>
        </w:tc>
      </w:tr>
    </w:tbl>
    <w:p w:rsidR="003825C6" w:rsidRDefault="00C34E21" w:rsidP="003825C6">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Op 11 </w:t>
      </w:r>
      <w:r w:rsidR="00D42842">
        <w:rPr>
          <w:rFonts w:ascii="Georgia" w:eastAsia="Times New Roman" w:hAnsi="Georgia" w:cs="Arial"/>
          <w:sz w:val="22"/>
          <w:szCs w:val="22"/>
          <w:lang w:val="nl-NL" w:eastAsia="nl-NL"/>
        </w:rPr>
        <w:t>december</w:t>
      </w:r>
      <w:r>
        <w:rPr>
          <w:rFonts w:ascii="Georgia" w:eastAsia="Times New Roman" w:hAnsi="Georgia" w:cs="Arial"/>
          <w:sz w:val="22"/>
          <w:szCs w:val="22"/>
          <w:lang w:val="nl-NL" w:eastAsia="nl-NL"/>
        </w:rPr>
        <w:t xml:space="preserve"> publiceerde de provincie de </w:t>
      </w:r>
      <w:r>
        <w:rPr>
          <w:rFonts w:ascii="Georgia" w:eastAsia="Times New Roman" w:hAnsi="Georgia" w:cs="Arial"/>
          <w:i/>
          <w:iCs/>
          <w:sz w:val="22"/>
          <w:szCs w:val="22"/>
          <w:lang w:val="nl-NL" w:eastAsia="nl-NL"/>
        </w:rPr>
        <w:t>Staat van de Volkshuisvesting in Gelderland</w:t>
      </w:r>
      <w:r>
        <w:rPr>
          <w:rFonts w:ascii="Georgia" w:eastAsia="Times New Roman" w:hAnsi="Georgia" w:cs="Arial"/>
          <w:sz w:val="22"/>
          <w:szCs w:val="22"/>
          <w:lang w:val="nl-NL" w:eastAsia="nl-NL"/>
        </w:rPr>
        <w:t xml:space="preserve">, waarin verslag wordt gedaan van de ontwikkelingen in de Gelderse woningbouw. In het overzicht meldt de provincie dat er 11.500 woningen zijn bijgekomen, een toename van 10 % die tegen de landelijke trend (4 % daling) ingaat. Van in 2023 gebouwde woningen valt 25 % binnen de categorie sociale huur, terwijl in het coalitieakkoord 31 % is afgesproken. </w:t>
      </w:r>
    </w:p>
    <w:p w:rsidR="003825C6" w:rsidRPr="00656183" w:rsidRDefault="003825C6" w:rsidP="003825C6">
      <w:pPr>
        <w:rPr>
          <w:rFonts w:ascii="Georgia" w:eastAsia="Times New Roman" w:hAnsi="Georgia" w:cs="Arial"/>
          <w:sz w:val="22"/>
          <w:szCs w:val="22"/>
          <w:lang w:val="nl-NL" w:eastAsia="nl-NL"/>
        </w:rPr>
      </w:pPr>
    </w:p>
    <w:p w:rsidR="00B41485" w:rsidRDefault="00B41485" w:rsidP="00B41485">
      <w:pPr>
        <w:rPr>
          <w:rFonts w:ascii="Georgia" w:eastAsia="Times New Roman" w:hAnsi="Georgia" w:cs="Arial"/>
          <w:sz w:val="22"/>
          <w:szCs w:val="22"/>
          <w:lang w:val="nl-NL" w:eastAsia="nl-NL"/>
        </w:rPr>
      </w:pPr>
      <w:r w:rsidRPr="00B41485">
        <w:rPr>
          <w:rFonts w:ascii="Georgia" w:eastAsia="Times New Roman" w:hAnsi="Georgia" w:cs="Arial"/>
          <w:sz w:val="22"/>
          <w:szCs w:val="22"/>
          <w:lang w:val="nl-NL" w:eastAsia="nl-NL"/>
        </w:rPr>
        <w:t>In het antwoord op eerder schriftelijke vragen d.d. 11 juni 2024 (zaaknr. 2024-007264) gaf de provincie aan in gesprek te gaan met gemeenten die in het provinciale beleid knelpunten ondervinden in het vergroten van hun sociale woningenbestand.</w:t>
      </w:r>
    </w:p>
    <w:p w:rsidR="00B41485" w:rsidRPr="00B41485" w:rsidRDefault="00B41485" w:rsidP="00B41485">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Dat brengt de SP-fractie tot de volgende schriftelijke vragen:</w:t>
      </w:r>
    </w:p>
    <w:p w:rsidR="003825C6" w:rsidRPr="00656183" w:rsidRDefault="003825C6" w:rsidP="003825C6">
      <w:pPr>
        <w:rPr>
          <w:rFonts w:ascii="Georgia" w:eastAsia="Times New Roman" w:hAnsi="Georgia" w:cs="Arial"/>
          <w:iCs/>
          <w:sz w:val="22"/>
          <w:szCs w:val="22"/>
          <w:lang w:val="nl-NL" w:eastAsia="nl-NL"/>
        </w:rPr>
      </w:pPr>
    </w:p>
    <w:p w:rsidR="003825C6" w:rsidRDefault="00C34E21" w:rsidP="00C34E21">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Wat is de reden dat de afgesproken 31 % sociale huur in 2023 niet is behaald?</w:t>
      </w:r>
    </w:p>
    <w:p w:rsidR="00C34E21" w:rsidRDefault="00C34E21" w:rsidP="00C34E21">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Is er op basis van de nu beschikbare informatie wel 31 % sociale huur gebouwd in 2024?</w:t>
      </w:r>
    </w:p>
    <w:p w:rsidR="00B41485" w:rsidRDefault="00C34E21" w:rsidP="00B41485">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Welke maatregelen gaat </w:t>
      </w:r>
      <w:r w:rsidR="00AC6B78">
        <w:rPr>
          <w:rFonts w:ascii="Georgia" w:eastAsia="Times New Roman" w:hAnsi="Georgia" w:cs="Arial"/>
          <w:sz w:val="22"/>
          <w:szCs w:val="22"/>
          <w:lang w:val="nl-NL" w:eastAsia="nl-NL"/>
        </w:rPr>
        <w:t>Gedeputeerde Staten</w:t>
      </w:r>
      <w:r>
        <w:rPr>
          <w:rFonts w:ascii="Georgia" w:eastAsia="Times New Roman" w:hAnsi="Georgia" w:cs="Arial"/>
          <w:sz w:val="22"/>
          <w:szCs w:val="22"/>
          <w:lang w:val="nl-NL" w:eastAsia="nl-NL"/>
        </w:rPr>
        <w:t xml:space="preserve"> nemen om de afgesproken 31 % sociale huur komende jaren wel te halen?</w:t>
      </w:r>
    </w:p>
    <w:p w:rsidR="00B41485" w:rsidRDefault="00B41485" w:rsidP="00B41485">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Zijn er, in navolging van het antwoord met zaaknummer 2024-007264, gesprekken geweest met gemeenten die </w:t>
      </w:r>
      <w:r w:rsidRPr="00B41485">
        <w:rPr>
          <w:rFonts w:ascii="Georgia" w:eastAsia="Times New Roman" w:hAnsi="Georgia" w:cs="Arial"/>
          <w:sz w:val="22"/>
          <w:szCs w:val="22"/>
          <w:lang w:val="nl-NL" w:eastAsia="nl-NL"/>
        </w:rPr>
        <w:t>in het provinciale beleid knelpunten ondervinden in het vergroten van hun sociale woningenbestand</w:t>
      </w:r>
      <w:r>
        <w:rPr>
          <w:rFonts w:ascii="Georgia" w:eastAsia="Times New Roman" w:hAnsi="Georgia" w:cs="Arial"/>
          <w:sz w:val="22"/>
          <w:szCs w:val="22"/>
          <w:lang w:val="nl-NL" w:eastAsia="nl-NL"/>
        </w:rPr>
        <w:t>? Tot welke geconstateerde knelpunten en oplossingen hebben die gesprekken geleid?</w:t>
      </w:r>
    </w:p>
    <w:p w:rsidR="00C34E21" w:rsidRDefault="00C34E21" w:rsidP="00C34E21">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Is </w:t>
      </w:r>
      <w:r w:rsidR="00AC6B78">
        <w:rPr>
          <w:rFonts w:ascii="Georgia" w:eastAsia="Times New Roman" w:hAnsi="Georgia" w:cs="Arial"/>
          <w:sz w:val="22"/>
          <w:szCs w:val="22"/>
          <w:lang w:val="nl-NL" w:eastAsia="nl-NL"/>
        </w:rPr>
        <w:t xml:space="preserve">Gedeputeerde Staten </w:t>
      </w:r>
      <w:r>
        <w:rPr>
          <w:rFonts w:ascii="Georgia" w:eastAsia="Times New Roman" w:hAnsi="Georgia" w:cs="Arial"/>
          <w:sz w:val="22"/>
          <w:szCs w:val="22"/>
          <w:lang w:val="nl-NL" w:eastAsia="nl-NL"/>
        </w:rPr>
        <w:t>bereid om, wanneer woningcorporaties onvoldoende woningen gebouwd krijgen, zelf over te gaan tot de bouw van sociale huurwoningen om de afgesproken 31 % sociale huur te behalen? Zo nee, waarom niet?</w:t>
      </w:r>
    </w:p>
    <w:p w:rsidR="00C34E21" w:rsidRDefault="00C34E21" w:rsidP="00C34E21">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Is </w:t>
      </w:r>
      <w:r w:rsidR="00AC6B78">
        <w:rPr>
          <w:rFonts w:ascii="Georgia" w:eastAsia="Times New Roman" w:hAnsi="Georgia" w:cs="Arial"/>
          <w:sz w:val="22"/>
          <w:szCs w:val="22"/>
          <w:lang w:val="nl-NL" w:eastAsia="nl-NL"/>
        </w:rPr>
        <w:t>Gedeputeerde Staten</w:t>
      </w:r>
      <w:r>
        <w:rPr>
          <w:rFonts w:ascii="Georgia" w:eastAsia="Times New Roman" w:hAnsi="Georgia" w:cs="Arial"/>
          <w:sz w:val="22"/>
          <w:szCs w:val="22"/>
          <w:lang w:val="nl-NL" w:eastAsia="nl-NL"/>
        </w:rPr>
        <w:t>, gezien de aanhoudende woningnood, ook bereid om méér dan 31 % sociale huurwoningen te bouwen, zoals de SP eerder heeft voorgesteld? Zo nee, waarom niet?</w:t>
      </w:r>
    </w:p>
    <w:p w:rsidR="00AC6B78" w:rsidRPr="00C34E21" w:rsidRDefault="00AC6B78" w:rsidP="00C34E21">
      <w:pPr>
        <w:pStyle w:val="Lijstalinea"/>
        <w:numPr>
          <w:ilvl w:val="0"/>
          <w:numId w:val="1"/>
        </w:numPr>
        <w:rPr>
          <w:rFonts w:ascii="Georgia" w:eastAsia="Times New Roman" w:hAnsi="Georgia" w:cs="Arial"/>
          <w:sz w:val="22"/>
          <w:szCs w:val="22"/>
          <w:lang w:val="nl-NL" w:eastAsia="nl-NL"/>
        </w:rPr>
      </w:pPr>
      <w:r>
        <w:rPr>
          <w:rFonts w:ascii="Georgia" w:eastAsia="Times New Roman" w:hAnsi="Georgia" w:cs="Arial"/>
          <w:sz w:val="22"/>
          <w:szCs w:val="22"/>
          <w:lang w:val="nl-NL" w:eastAsia="nl-NL"/>
        </w:rPr>
        <w:t>Deelt Gedeputeerde Staten het standpunt van de SP dat uit deze ontwikkeling wederom blijkt dat het terugdringen van de woningnood meer prioriteit moet hebben in het provinciale beleid? Zo nee, waarom niet?</w:t>
      </w:r>
    </w:p>
    <w:p w:rsidR="003825C6" w:rsidRPr="00656183" w:rsidRDefault="003825C6" w:rsidP="003825C6">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r w:rsidRPr="00656183">
        <w:rPr>
          <w:rFonts w:ascii="Georgia" w:eastAsia="Times New Roman" w:hAnsi="Georgia" w:cs="Arial"/>
          <w:sz w:val="22"/>
          <w:szCs w:val="22"/>
          <w:lang w:val="nl-NL" w:eastAsia="nl-NL"/>
        </w:rPr>
        <w:t>Met vriendelijke groet,</w:t>
      </w:r>
    </w:p>
    <w:p w:rsidR="003825C6" w:rsidRPr="00656183" w:rsidRDefault="003825C6" w:rsidP="003825C6">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p>
    <w:p w:rsidR="003825C6" w:rsidRPr="00656183" w:rsidRDefault="003825C6" w:rsidP="003825C6">
      <w:pPr>
        <w:rPr>
          <w:rFonts w:ascii="Georgia" w:eastAsia="Times New Roman" w:hAnsi="Georgia" w:cs="Arial"/>
          <w:sz w:val="22"/>
          <w:szCs w:val="22"/>
          <w:lang w:val="nl-NL" w:eastAsia="nl-NL"/>
        </w:rPr>
      </w:pPr>
    </w:p>
    <w:p w:rsidR="003825C6" w:rsidRDefault="008E0CFE" w:rsidP="003825C6">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 xml:space="preserve">Carla Claassen </w:t>
      </w:r>
    </w:p>
    <w:p w:rsidR="00C6554E" w:rsidRPr="002F391C" w:rsidRDefault="008E0CFE">
      <w:pPr>
        <w:rPr>
          <w:rFonts w:ascii="Georgia" w:eastAsia="Times New Roman" w:hAnsi="Georgia" w:cs="Arial"/>
          <w:sz w:val="22"/>
          <w:szCs w:val="22"/>
          <w:lang w:val="nl-NL" w:eastAsia="nl-NL"/>
        </w:rPr>
      </w:pPr>
      <w:r>
        <w:rPr>
          <w:rFonts w:ascii="Georgia" w:eastAsia="Times New Roman" w:hAnsi="Georgia" w:cs="Arial"/>
          <w:sz w:val="22"/>
          <w:szCs w:val="22"/>
          <w:lang w:val="nl-NL" w:eastAsia="nl-NL"/>
        </w:rPr>
        <w:t>Statenlid S</w:t>
      </w:r>
      <w:bookmarkEnd w:id="0"/>
      <w:r w:rsidR="002F391C">
        <w:rPr>
          <w:rFonts w:ascii="Georgia" w:eastAsia="Times New Roman" w:hAnsi="Georgia" w:cs="Arial"/>
          <w:sz w:val="22"/>
          <w:szCs w:val="22"/>
          <w:lang w:val="nl-NL" w:eastAsia="nl-NL"/>
        </w:rPr>
        <w:t>P</w:t>
      </w:r>
    </w:p>
    <w:sectPr w:rsidR="00C6554E" w:rsidRPr="002F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5F32"/>
    <w:multiLevelType w:val="hybridMultilevel"/>
    <w:tmpl w:val="E4E00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904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C6"/>
    <w:rsid w:val="00185E4F"/>
    <w:rsid w:val="001C2A37"/>
    <w:rsid w:val="002D0FFF"/>
    <w:rsid w:val="002F391C"/>
    <w:rsid w:val="003825C6"/>
    <w:rsid w:val="0041246A"/>
    <w:rsid w:val="0054615C"/>
    <w:rsid w:val="006E1F1C"/>
    <w:rsid w:val="00844131"/>
    <w:rsid w:val="008B4762"/>
    <w:rsid w:val="008E0CFE"/>
    <w:rsid w:val="00AC6B78"/>
    <w:rsid w:val="00B41485"/>
    <w:rsid w:val="00C34E21"/>
    <w:rsid w:val="00C6554E"/>
    <w:rsid w:val="00D42842"/>
    <w:rsid w:val="00FB4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2448"/>
  <w15:chartTrackingRefBased/>
  <w15:docId w15:val="{350A77FD-344A-4D3F-A530-EF82AFE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25C6"/>
    <w:pPr>
      <w:spacing w:after="0" w:line="240" w:lineRule="auto"/>
    </w:pPr>
    <w:rPr>
      <w:rFonts w:eastAsiaTheme="minorEastAsia"/>
      <w:kern w:val="0"/>
      <w:sz w:val="24"/>
      <w:szCs w:val="24"/>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4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Yurre Wieken</dc:creator>
  <cp:keywords/>
  <dc:description/>
  <cp:lastModifiedBy>Yurre Wieken</cp:lastModifiedBy>
  <cp:revision>10</cp:revision>
  <dcterms:created xsi:type="dcterms:W3CDTF">2024-12-15T16:33:00Z</dcterms:created>
  <dcterms:modified xsi:type="dcterms:W3CDTF">2024-12-16T14:47:00Z</dcterms:modified>
</cp:coreProperties>
</file>